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08E256D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>ANEX</w:t>
      </w:r>
      <w:r w:rsidR="00BC78CF">
        <w:rPr>
          <w:rFonts w:cs="Arial"/>
          <w:b/>
          <w:sz w:val="40"/>
          <w:szCs w:val="40"/>
          <w:lang w:eastAsia="es-ES"/>
        </w:rPr>
        <w:t>O</w:t>
      </w:r>
      <w:r w:rsidRPr="0004172E">
        <w:rPr>
          <w:rFonts w:cs="Arial"/>
          <w:b/>
          <w:sz w:val="40"/>
          <w:szCs w:val="40"/>
          <w:lang w:eastAsia="es-ES"/>
        </w:rPr>
        <w:t xml:space="preserve">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67958D4D" w14:textId="2775B393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6CD6C75C">
        <w:rPr>
          <w:rFonts w:cs="Arial"/>
          <w:b/>
          <w:bCs/>
          <w:sz w:val="40"/>
          <w:szCs w:val="40"/>
          <w:lang w:eastAsia="es-ES"/>
        </w:rPr>
        <w:t>INFORMACIÓ</w:t>
      </w:r>
      <w:r w:rsidR="00BC78CF">
        <w:rPr>
          <w:rFonts w:cs="Arial"/>
          <w:b/>
          <w:bCs/>
          <w:sz w:val="40"/>
          <w:szCs w:val="40"/>
          <w:lang w:eastAsia="es-ES"/>
        </w:rPr>
        <w:t>N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 SOBRE LOT</w:t>
      </w:r>
      <w:r w:rsidR="00BC78CF">
        <w:rPr>
          <w:rFonts w:cs="Arial"/>
          <w:b/>
          <w:bCs/>
          <w:sz w:val="40"/>
          <w:szCs w:val="40"/>
          <w:lang w:eastAsia="es-ES"/>
        </w:rPr>
        <w:t>E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S,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DESCRIPCION</w:t>
      </w:r>
      <w:r w:rsidR="00BC78CF">
        <w:rPr>
          <w:rFonts w:cs="Arial"/>
          <w:b/>
          <w:bCs/>
          <w:sz w:val="40"/>
          <w:szCs w:val="40"/>
          <w:lang w:eastAsia="es-ES"/>
        </w:rPr>
        <w:t>E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S, JUSTIFICACIÓ</w:t>
      </w:r>
      <w:r w:rsidR="00BC78CF">
        <w:rPr>
          <w:rFonts w:cs="Arial"/>
          <w:b/>
          <w:bCs/>
          <w:sz w:val="40"/>
          <w:szCs w:val="40"/>
          <w:lang w:eastAsia="es-ES"/>
        </w:rPr>
        <w:t>N DE LA LOTI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ZACIÓ</w:t>
      </w:r>
      <w:r w:rsidR="00BC78CF">
        <w:rPr>
          <w:rFonts w:cs="Arial"/>
          <w:b/>
          <w:bCs/>
          <w:sz w:val="40"/>
          <w:szCs w:val="40"/>
          <w:lang w:eastAsia="es-ES"/>
        </w:rPr>
        <w:t>N</w:t>
      </w:r>
      <w:r w:rsidRPr="6CD6C75C">
        <w:rPr>
          <w:rFonts w:cs="Arial"/>
          <w:b/>
          <w:bCs/>
          <w:sz w:val="40"/>
          <w:szCs w:val="40"/>
          <w:lang w:eastAsia="es-ES"/>
        </w:rPr>
        <w:t xml:space="preserve">, 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IMPORT</w:t>
      </w:r>
      <w:r w:rsidR="00BC78CF">
        <w:rPr>
          <w:rFonts w:cs="Arial"/>
          <w:b/>
          <w:bCs/>
          <w:sz w:val="40"/>
          <w:szCs w:val="40"/>
          <w:lang w:eastAsia="es-ES"/>
        </w:rPr>
        <w:t>ES PO</w:t>
      </w:r>
      <w:r w:rsidR="009B0F3C" w:rsidRPr="6CD6C75C">
        <w:rPr>
          <w:rFonts w:cs="Arial"/>
          <w:b/>
          <w:bCs/>
          <w:sz w:val="40"/>
          <w:szCs w:val="40"/>
          <w:lang w:eastAsia="es-ES"/>
        </w:rPr>
        <w:t>R LOT</w:t>
      </w:r>
      <w:r w:rsidR="00BC78CF">
        <w:rPr>
          <w:rFonts w:cs="Arial"/>
          <w:b/>
          <w:bCs/>
          <w:sz w:val="40"/>
          <w:szCs w:val="40"/>
          <w:lang w:eastAsia="es-ES"/>
        </w:rPr>
        <w:t>E</w:t>
      </w:r>
      <w:r w:rsidRPr="6CD6C75C">
        <w:rPr>
          <w:rFonts w:cs="Arial"/>
          <w:b/>
          <w:bCs/>
          <w:sz w:val="40"/>
          <w:szCs w:val="40"/>
          <w:lang w:eastAsia="es-ES"/>
        </w:rPr>
        <w:t>, LIMITACION</w:t>
      </w:r>
      <w:r w:rsidR="00BC78CF">
        <w:rPr>
          <w:rFonts w:cs="Arial"/>
          <w:b/>
          <w:bCs/>
          <w:sz w:val="40"/>
          <w:szCs w:val="40"/>
          <w:lang w:eastAsia="es-ES"/>
        </w:rPr>
        <w:t>E</w:t>
      </w:r>
      <w:r w:rsidRPr="6CD6C75C">
        <w:rPr>
          <w:rFonts w:cs="Arial"/>
          <w:b/>
          <w:bCs/>
          <w:sz w:val="40"/>
          <w:szCs w:val="40"/>
          <w:lang w:eastAsia="es-ES"/>
        </w:rPr>
        <w:t>S</w:t>
      </w:r>
    </w:p>
    <w:p w14:paraId="28B99306" w14:textId="74A6D8A0" w:rsidR="6CD6C75C" w:rsidRPr="00B6423F" w:rsidRDefault="6CD6C75C" w:rsidP="6CD6C75C">
      <w:pPr>
        <w:spacing w:after="0" w:line="240" w:lineRule="auto"/>
        <w:rPr>
          <w:rFonts w:cs="Arial"/>
          <w:b/>
          <w:bCs/>
          <w:sz w:val="40"/>
          <w:szCs w:val="40"/>
          <w:lang w:eastAsia="es-ES"/>
        </w:rPr>
      </w:pPr>
    </w:p>
    <w:p w14:paraId="0B55309F" w14:textId="15691D66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Este </w:t>
      </w:r>
      <w:proofErr w:type="spellStart"/>
      <w:r w:rsidRPr="00BC78CF">
        <w:rPr>
          <w:rFonts w:eastAsiaTheme="minorHAnsi" w:cs="Arial"/>
          <w:lang w:eastAsia="en-US"/>
        </w:rPr>
        <w:t>contrato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está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dividido</w:t>
      </w:r>
      <w:proofErr w:type="spellEnd"/>
      <w:r w:rsidRPr="00BC78CF">
        <w:rPr>
          <w:rFonts w:eastAsiaTheme="minorHAnsi" w:cs="Arial"/>
          <w:lang w:eastAsia="en-US"/>
        </w:rPr>
        <w:t xml:space="preserve"> en tres </w:t>
      </w:r>
      <w:proofErr w:type="spellStart"/>
      <w:r w:rsidRPr="00BC78CF">
        <w:rPr>
          <w:rFonts w:eastAsiaTheme="minorHAnsi" w:cs="Arial"/>
          <w:lang w:eastAsia="en-US"/>
        </w:rPr>
        <w:t>lotes</w:t>
      </w:r>
      <w:proofErr w:type="spellEnd"/>
      <w:r w:rsidRPr="00BC78CF">
        <w:rPr>
          <w:rFonts w:eastAsiaTheme="minorHAnsi" w:cs="Arial"/>
          <w:lang w:eastAsia="en-US"/>
        </w:rPr>
        <w:t xml:space="preserve">. Para facilitar la </w:t>
      </w:r>
      <w:proofErr w:type="spellStart"/>
      <w:r w:rsidRPr="00BC78CF">
        <w:rPr>
          <w:rFonts w:eastAsiaTheme="minorHAnsi" w:cs="Arial"/>
          <w:lang w:eastAsia="en-US"/>
        </w:rPr>
        <w:t>libre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concurrencia</w:t>
      </w:r>
      <w:proofErr w:type="spellEnd"/>
      <w:r w:rsidRPr="00BC78CF">
        <w:rPr>
          <w:rFonts w:eastAsiaTheme="minorHAnsi" w:cs="Arial"/>
          <w:lang w:eastAsia="en-US"/>
        </w:rPr>
        <w:t>, evitar</w:t>
      </w:r>
      <w:r w:rsidR="003248CF">
        <w:rPr>
          <w:rFonts w:eastAsiaTheme="minorHAnsi" w:cs="Arial"/>
          <w:lang w:eastAsia="en-US"/>
        </w:rPr>
        <w:t xml:space="preserve"> </w:t>
      </w:r>
      <w:bookmarkStart w:id="0" w:name="_GoBack"/>
      <w:bookmarkEnd w:id="0"/>
      <w:proofErr w:type="spellStart"/>
      <w:r w:rsidRPr="00BC78CF">
        <w:rPr>
          <w:rFonts w:eastAsiaTheme="minorHAnsi" w:cs="Arial"/>
          <w:lang w:eastAsia="en-US"/>
        </w:rPr>
        <w:t>discriminaciones</w:t>
      </w:r>
      <w:proofErr w:type="spellEnd"/>
      <w:r w:rsidRPr="00BC78CF">
        <w:rPr>
          <w:rFonts w:eastAsiaTheme="minorHAnsi" w:cs="Arial"/>
          <w:lang w:eastAsia="en-US"/>
        </w:rPr>
        <w:t xml:space="preserve"> y fomentar la </w:t>
      </w:r>
      <w:proofErr w:type="spellStart"/>
      <w:r w:rsidRPr="00BC78CF">
        <w:rPr>
          <w:rFonts w:eastAsiaTheme="minorHAnsi" w:cs="Arial"/>
          <w:lang w:eastAsia="en-US"/>
        </w:rPr>
        <w:t>participación</w:t>
      </w:r>
      <w:proofErr w:type="spellEnd"/>
      <w:r w:rsidRPr="00BC78CF">
        <w:rPr>
          <w:rFonts w:eastAsiaTheme="minorHAnsi" w:cs="Arial"/>
          <w:lang w:eastAsia="en-US"/>
        </w:rPr>
        <w:t xml:space="preserve"> de las </w:t>
      </w:r>
      <w:proofErr w:type="spellStart"/>
      <w:r w:rsidRPr="00BC78CF">
        <w:rPr>
          <w:rFonts w:eastAsiaTheme="minorHAnsi" w:cs="Arial"/>
          <w:lang w:eastAsia="en-US"/>
        </w:rPr>
        <w:t>empresas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éstas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podrán</w:t>
      </w:r>
      <w:proofErr w:type="spellEnd"/>
      <w:r w:rsidRPr="00BC78CF">
        <w:rPr>
          <w:rFonts w:eastAsiaTheme="minorHAnsi" w:cs="Arial"/>
          <w:lang w:eastAsia="en-US"/>
        </w:rPr>
        <w:t xml:space="preserve"> presentar </w:t>
      </w:r>
      <w:proofErr w:type="spellStart"/>
      <w:r w:rsidRPr="00BC78CF">
        <w:rPr>
          <w:rFonts w:eastAsiaTheme="minorHAnsi" w:cs="Arial"/>
          <w:lang w:eastAsia="en-US"/>
        </w:rPr>
        <w:t>sus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ofertas</w:t>
      </w:r>
      <w:proofErr w:type="spellEnd"/>
      <w:r w:rsidRPr="00BC78CF">
        <w:rPr>
          <w:rFonts w:eastAsiaTheme="minorHAnsi" w:cs="Arial"/>
          <w:lang w:eastAsia="en-US"/>
        </w:rPr>
        <w:t xml:space="preserve"> por </w:t>
      </w:r>
      <w:proofErr w:type="spellStart"/>
      <w:r w:rsidRPr="00BC78CF">
        <w:rPr>
          <w:rFonts w:eastAsiaTheme="minorHAnsi" w:cs="Arial"/>
          <w:lang w:eastAsia="en-US"/>
        </w:rPr>
        <w:t>cualquiera</w:t>
      </w:r>
      <w:proofErr w:type="spellEnd"/>
      <w:r w:rsidRPr="00BC78CF">
        <w:rPr>
          <w:rFonts w:eastAsiaTheme="minorHAnsi" w:cs="Arial"/>
          <w:lang w:eastAsia="en-US"/>
        </w:rPr>
        <w:t xml:space="preserve"> de los </w:t>
      </w:r>
      <w:proofErr w:type="spellStart"/>
      <w:r w:rsidRPr="00BC78CF">
        <w:rPr>
          <w:rFonts w:eastAsiaTheme="minorHAnsi" w:cs="Arial"/>
          <w:lang w:eastAsia="en-US"/>
        </w:rPr>
        <w:t>lotes</w:t>
      </w:r>
      <w:proofErr w:type="spellEnd"/>
      <w:r w:rsidRPr="00BC78CF">
        <w:rPr>
          <w:rFonts w:eastAsiaTheme="minorHAnsi" w:cs="Arial"/>
          <w:lang w:eastAsia="en-US"/>
        </w:rPr>
        <w:t xml:space="preserve">. Por lo que respecta a los </w:t>
      </w:r>
      <w:proofErr w:type="spellStart"/>
      <w:r w:rsidRPr="00BC78CF">
        <w:rPr>
          <w:rFonts w:eastAsiaTheme="minorHAnsi" w:cs="Arial"/>
          <w:lang w:eastAsia="en-US"/>
        </w:rPr>
        <w:t>lotes</w:t>
      </w:r>
      <w:proofErr w:type="spellEnd"/>
      <w:r w:rsidRPr="00BC78CF">
        <w:rPr>
          <w:rFonts w:eastAsiaTheme="minorHAnsi" w:cs="Arial"/>
          <w:lang w:eastAsia="en-US"/>
        </w:rPr>
        <w:t xml:space="preserve"> 1, 2 y 3 </w:t>
      </w:r>
      <w:proofErr w:type="spellStart"/>
      <w:r w:rsidRPr="00BC78CF">
        <w:rPr>
          <w:rFonts w:eastAsiaTheme="minorHAnsi" w:cs="Arial"/>
          <w:lang w:eastAsia="en-US"/>
        </w:rPr>
        <w:t>será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obligatorio</w:t>
      </w:r>
      <w:proofErr w:type="spellEnd"/>
      <w:r w:rsidRPr="00BC78CF">
        <w:rPr>
          <w:rFonts w:eastAsiaTheme="minorHAnsi" w:cs="Arial"/>
          <w:lang w:eastAsia="en-US"/>
        </w:rPr>
        <w:t xml:space="preserve"> presentar oferta a la </w:t>
      </w:r>
      <w:proofErr w:type="spellStart"/>
      <w:r w:rsidRPr="00BC78CF">
        <w:rPr>
          <w:rFonts w:eastAsiaTheme="minorHAnsi" w:cs="Arial"/>
          <w:lang w:eastAsia="en-US"/>
        </w:rPr>
        <w:t>totalidad</w:t>
      </w:r>
      <w:proofErr w:type="spellEnd"/>
      <w:r w:rsidRPr="00BC78CF">
        <w:rPr>
          <w:rFonts w:eastAsiaTheme="minorHAnsi" w:cs="Arial"/>
          <w:lang w:eastAsia="en-US"/>
        </w:rPr>
        <w:t xml:space="preserve"> de los </w:t>
      </w:r>
      <w:proofErr w:type="spellStart"/>
      <w:r w:rsidRPr="00BC78CF">
        <w:rPr>
          <w:rFonts w:eastAsiaTheme="minorHAnsi" w:cs="Arial"/>
          <w:lang w:eastAsia="en-US"/>
        </w:rPr>
        <w:t>artículos</w:t>
      </w:r>
      <w:proofErr w:type="spellEnd"/>
      <w:r w:rsidRPr="00BC78CF">
        <w:rPr>
          <w:rFonts w:eastAsiaTheme="minorHAnsi" w:cs="Arial"/>
          <w:lang w:eastAsia="en-US"/>
        </w:rPr>
        <w:t xml:space="preserve"> del </w:t>
      </w:r>
      <w:proofErr w:type="spellStart"/>
      <w:r w:rsidRPr="00BC78CF">
        <w:rPr>
          <w:rFonts w:eastAsiaTheme="minorHAnsi" w:cs="Arial"/>
          <w:lang w:eastAsia="en-US"/>
        </w:rPr>
        <w:t>lote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5E36FB5B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7E55C9B7" w14:textId="5A3A7208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LOTE 1. PLATAFORMA INTEGRADA </w:t>
      </w:r>
      <w:r w:rsidR="003248CF">
        <w:rPr>
          <w:rFonts w:eastAsiaTheme="minorHAnsi" w:cs="Arial"/>
          <w:lang w:eastAsia="en-US"/>
        </w:rPr>
        <w:t>DATAFABRIC</w:t>
      </w:r>
      <w:r w:rsidRPr="00BC78CF">
        <w:rPr>
          <w:rFonts w:eastAsiaTheme="minorHAnsi" w:cs="Arial"/>
          <w:lang w:eastAsia="en-US"/>
        </w:rPr>
        <w:t xml:space="preserve"> Y COMPONENTE DE ESPACIO DE DATOS</w:t>
      </w:r>
    </w:p>
    <w:p w14:paraId="3C2874C1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proofErr w:type="spellStart"/>
      <w:r w:rsidRPr="00BC78CF">
        <w:rPr>
          <w:rFonts w:eastAsiaTheme="minorHAnsi" w:cs="Arial"/>
          <w:lang w:eastAsia="en-US"/>
        </w:rPr>
        <w:t>Dado</w:t>
      </w:r>
      <w:proofErr w:type="spellEnd"/>
      <w:r w:rsidRPr="00BC78CF">
        <w:rPr>
          <w:rFonts w:eastAsiaTheme="minorHAnsi" w:cs="Arial"/>
          <w:lang w:eastAsia="en-US"/>
        </w:rPr>
        <w:t xml:space="preserve"> que se </w:t>
      </w:r>
      <w:proofErr w:type="spellStart"/>
      <w:r w:rsidRPr="00BC78CF">
        <w:rPr>
          <w:rFonts w:eastAsiaTheme="minorHAnsi" w:cs="Arial"/>
          <w:lang w:eastAsia="en-US"/>
        </w:rPr>
        <w:t>trata</w:t>
      </w:r>
      <w:proofErr w:type="spellEnd"/>
      <w:r w:rsidRPr="00BC78CF">
        <w:rPr>
          <w:rFonts w:eastAsiaTheme="minorHAnsi" w:cs="Arial"/>
          <w:lang w:eastAsia="en-US"/>
        </w:rPr>
        <w:t xml:space="preserve"> de un sistema </w:t>
      </w:r>
      <w:proofErr w:type="spellStart"/>
      <w:r w:rsidRPr="00BC78CF">
        <w:rPr>
          <w:rFonts w:eastAsiaTheme="minorHAnsi" w:cs="Arial"/>
          <w:lang w:eastAsia="en-US"/>
        </w:rPr>
        <w:t>basado</w:t>
      </w:r>
      <w:proofErr w:type="spellEnd"/>
      <w:r w:rsidRPr="00BC78CF">
        <w:rPr>
          <w:rFonts w:eastAsiaTheme="minorHAnsi" w:cs="Arial"/>
          <w:lang w:eastAsia="en-US"/>
        </w:rPr>
        <w:t xml:space="preserve"> en el uso por </w:t>
      </w:r>
      <w:proofErr w:type="spellStart"/>
      <w:r w:rsidRPr="00BC78CF">
        <w:rPr>
          <w:rFonts w:eastAsiaTheme="minorHAnsi" w:cs="Arial"/>
          <w:lang w:eastAsia="en-US"/>
        </w:rPr>
        <w:t>licencias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productos</w:t>
      </w:r>
      <w:proofErr w:type="spellEnd"/>
      <w:r w:rsidRPr="00BC78CF">
        <w:rPr>
          <w:rFonts w:eastAsiaTheme="minorHAnsi" w:cs="Arial"/>
          <w:lang w:eastAsia="en-US"/>
        </w:rPr>
        <w:t xml:space="preserve"> se </w:t>
      </w:r>
      <w:proofErr w:type="spellStart"/>
      <w:r w:rsidRPr="00BC78CF">
        <w:rPr>
          <w:rFonts w:eastAsiaTheme="minorHAnsi" w:cs="Arial"/>
          <w:lang w:eastAsia="en-US"/>
        </w:rPr>
        <w:t>pide</w:t>
      </w:r>
      <w:proofErr w:type="spellEnd"/>
      <w:r w:rsidRPr="00BC78CF">
        <w:rPr>
          <w:rFonts w:eastAsiaTheme="minorHAnsi" w:cs="Arial"/>
          <w:lang w:eastAsia="en-US"/>
        </w:rPr>
        <w:t xml:space="preserve"> la </w:t>
      </w:r>
      <w:proofErr w:type="spellStart"/>
      <w:r w:rsidRPr="00BC78CF">
        <w:rPr>
          <w:rFonts w:eastAsiaTheme="minorHAnsi" w:cs="Arial"/>
          <w:lang w:eastAsia="en-US"/>
        </w:rPr>
        <w:t>contratación</w:t>
      </w:r>
      <w:proofErr w:type="spellEnd"/>
      <w:r w:rsidRPr="00BC78CF">
        <w:rPr>
          <w:rFonts w:eastAsiaTheme="minorHAnsi" w:cs="Arial"/>
          <w:lang w:eastAsia="en-US"/>
        </w:rPr>
        <w:t xml:space="preserve"> de:</w:t>
      </w:r>
    </w:p>
    <w:p w14:paraId="7713F2F1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Licencias</w:t>
      </w:r>
      <w:proofErr w:type="spellEnd"/>
      <w:r w:rsidRPr="00BC78CF">
        <w:rPr>
          <w:rFonts w:eastAsiaTheme="minorHAnsi" w:cs="Arial"/>
          <w:lang w:eastAsia="en-US"/>
        </w:rPr>
        <w:t xml:space="preserve"> para escalar la plataforma </w:t>
      </w:r>
      <w:proofErr w:type="spellStart"/>
      <w:r w:rsidRPr="00BC78CF">
        <w:rPr>
          <w:rFonts w:eastAsiaTheme="minorHAnsi" w:cs="Arial"/>
          <w:lang w:eastAsia="en-US"/>
        </w:rPr>
        <w:t>VHTeDades</w:t>
      </w:r>
      <w:proofErr w:type="spellEnd"/>
      <w:r w:rsidRPr="00BC78CF">
        <w:rPr>
          <w:rFonts w:eastAsiaTheme="minorHAnsi" w:cs="Arial"/>
          <w:lang w:eastAsia="en-US"/>
        </w:rPr>
        <w:t xml:space="preserve"> actual con la plataforma integrada Data </w:t>
      </w:r>
      <w:proofErr w:type="spellStart"/>
      <w:r w:rsidRPr="00BC78CF">
        <w:rPr>
          <w:rFonts w:eastAsiaTheme="minorHAnsi" w:cs="Arial"/>
          <w:lang w:eastAsia="en-US"/>
        </w:rPr>
        <w:t>Fabric</w:t>
      </w:r>
      <w:proofErr w:type="spellEnd"/>
      <w:r w:rsidRPr="00BC78CF">
        <w:rPr>
          <w:rFonts w:eastAsiaTheme="minorHAnsi" w:cs="Arial"/>
          <w:lang w:eastAsia="en-US"/>
        </w:rPr>
        <w:t xml:space="preserve"> con los </w:t>
      </w:r>
      <w:proofErr w:type="spellStart"/>
      <w:r w:rsidRPr="00BC78CF">
        <w:rPr>
          <w:rFonts w:eastAsiaTheme="minorHAnsi" w:cs="Arial"/>
          <w:lang w:eastAsia="en-US"/>
        </w:rPr>
        <w:t>requerimientos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detallados</w:t>
      </w:r>
      <w:proofErr w:type="spellEnd"/>
      <w:r w:rsidRPr="00BC78CF">
        <w:rPr>
          <w:rFonts w:eastAsiaTheme="minorHAnsi" w:cs="Arial"/>
          <w:lang w:eastAsia="en-US"/>
        </w:rPr>
        <w:t xml:space="preserve"> de los </w:t>
      </w:r>
      <w:proofErr w:type="spellStart"/>
      <w:r w:rsidRPr="00BC78CF">
        <w:rPr>
          <w:rFonts w:eastAsiaTheme="minorHAnsi" w:cs="Arial"/>
          <w:lang w:eastAsia="en-US"/>
        </w:rPr>
        <w:t>componentes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linaje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datos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producto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datos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ampliación</w:t>
      </w:r>
      <w:proofErr w:type="spellEnd"/>
      <w:r w:rsidRPr="00BC78CF">
        <w:rPr>
          <w:rFonts w:eastAsiaTheme="minorHAnsi" w:cs="Arial"/>
          <w:lang w:eastAsia="en-US"/>
        </w:rPr>
        <w:t xml:space="preserve"> de las </w:t>
      </w:r>
      <w:proofErr w:type="spellStart"/>
      <w:r w:rsidRPr="00BC78CF">
        <w:rPr>
          <w:rFonts w:eastAsiaTheme="minorHAnsi" w:cs="Arial"/>
          <w:lang w:eastAsia="en-US"/>
        </w:rPr>
        <w:t>capacidades</w:t>
      </w:r>
      <w:proofErr w:type="spellEnd"/>
      <w:r w:rsidRPr="00BC78CF">
        <w:rPr>
          <w:rFonts w:eastAsiaTheme="minorHAnsi" w:cs="Arial"/>
          <w:lang w:eastAsia="en-US"/>
        </w:rPr>
        <w:t xml:space="preserve"> de IA generativa y </w:t>
      </w:r>
      <w:proofErr w:type="spellStart"/>
      <w:r w:rsidRPr="00BC78CF">
        <w:rPr>
          <w:rFonts w:eastAsiaTheme="minorHAnsi" w:cs="Arial"/>
          <w:lang w:eastAsia="en-US"/>
        </w:rPr>
        <w:t>suscripción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Cloud</w:t>
      </w:r>
      <w:proofErr w:type="spellEnd"/>
      <w:r w:rsidRPr="00BC78CF">
        <w:rPr>
          <w:rFonts w:eastAsiaTheme="minorHAnsi" w:cs="Arial"/>
          <w:lang w:eastAsia="en-US"/>
        </w:rPr>
        <w:t xml:space="preserve"> por un </w:t>
      </w:r>
      <w:proofErr w:type="spellStart"/>
      <w:r w:rsidRPr="00BC78CF">
        <w:rPr>
          <w:rFonts w:eastAsiaTheme="minorHAnsi" w:cs="Arial"/>
          <w:lang w:eastAsia="en-US"/>
        </w:rPr>
        <w:t>año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535BF7CB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Licencia</w:t>
      </w:r>
      <w:proofErr w:type="spellEnd"/>
      <w:r w:rsidRPr="00BC78CF">
        <w:rPr>
          <w:rFonts w:eastAsiaTheme="minorHAnsi" w:cs="Arial"/>
          <w:lang w:eastAsia="en-US"/>
        </w:rPr>
        <w:t xml:space="preserve"> perpetua del </w:t>
      </w:r>
      <w:proofErr w:type="spellStart"/>
      <w:r w:rsidRPr="00BC78CF">
        <w:rPr>
          <w:rFonts w:eastAsiaTheme="minorHAnsi" w:cs="Arial"/>
          <w:lang w:eastAsia="en-US"/>
        </w:rPr>
        <w:t>componente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espacio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datos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0A3E047C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Despliegue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configuración</w:t>
      </w:r>
      <w:proofErr w:type="spellEnd"/>
      <w:r w:rsidRPr="00BC78CF">
        <w:rPr>
          <w:rFonts w:eastAsiaTheme="minorHAnsi" w:cs="Arial"/>
          <w:lang w:eastAsia="en-US"/>
        </w:rPr>
        <w:t xml:space="preserve"> de la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 xml:space="preserve">. </w:t>
      </w:r>
      <w:proofErr w:type="spellStart"/>
      <w:r w:rsidRPr="00BC78CF">
        <w:rPr>
          <w:rFonts w:eastAsiaTheme="minorHAnsi" w:cs="Arial"/>
          <w:lang w:eastAsia="en-US"/>
        </w:rPr>
        <w:t>Puesta</w:t>
      </w:r>
      <w:proofErr w:type="spellEnd"/>
      <w:r w:rsidRPr="00BC78CF">
        <w:rPr>
          <w:rFonts w:eastAsiaTheme="minorHAnsi" w:cs="Arial"/>
          <w:lang w:eastAsia="en-US"/>
        </w:rPr>
        <w:t xml:space="preserve"> en </w:t>
      </w:r>
      <w:proofErr w:type="spellStart"/>
      <w:r w:rsidRPr="00BC78CF">
        <w:rPr>
          <w:rFonts w:eastAsiaTheme="minorHAnsi" w:cs="Arial"/>
          <w:lang w:eastAsia="en-US"/>
        </w:rPr>
        <w:t>marcha</w:t>
      </w:r>
      <w:proofErr w:type="spellEnd"/>
      <w:r w:rsidRPr="00BC78CF">
        <w:rPr>
          <w:rFonts w:eastAsiaTheme="minorHAnsi" w:cs="Arial"/>
          <w:lang w:eastAsia="en-US"/>
        </w:rPr>
        <w:t xml:space="preserve"> de la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083EC571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Suministro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nuevas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versiones</w:t>
      </w:r>
      <w:proofErr w:type="spellEnd"/>
      <w:r w:rsidRPr="00BC78CF">
        <w:rPr>
          <w:rFonts w:eastAsiaTheme="minorHAnsi" w:cs="Arial"/>
          <w:lang w:eastAsia="en-US"/>
        </w:rPr>
        <w:t xml:space="preserve"> que </w:t>
      </w:r>
      <w:proofErr w:type="spellStart"/>
      <w:r w:rsidRPr="00BC78CF">
        <w:rPr>
          <w:rFonts w:eastAsiaTheme="minorHAnsi" w:cs="Arial"/>
          <w:lang w:eastAsia="en-US"/>
        </w:rPr>
        <w:t>incluya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mejoras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todos</w:t>
      </w:r>
      <w:proofErr w:type="spellEnd"/>
      <w:r w:rsidRPr="00BC78CF">
        <w:rPr>
          <w:rFonts w:eastAsiaTheme="minorHAnsi" w:cs="Arial"/>
          <w:lang w:eastAsia="en-US"/>
        </w:rPr>
        <w:t xml:space="preserve"> los </w:t>
      </w:r>
      <w:proofErr w:type="spellStart"/>
      <w:r w:rsidRPr="00BC78CF">
        <w:rPr>
          <w:rFonts w:eastAsiaTheme="minorHAnsi" w:cs="Arial"/>
          <w:lang w:eastAsia="en-US"/>
        </w:rPr>
        <w:t>componentes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6B2942F6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Apoyo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experto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toda</w:t>
      </w:r>
      <w:proofErr w:type="spellEnd"/>
      <w:r w:rsidRPr="00BC78CF">
        <w:rPr>
          <w:rFonts w:eastAsiaTheme="minorHAnsi" w:cs="Arial"/>
          <w:lang w:eastAsia="en-US"/>
        </w:rPr>
        <w:t xml:space="preserve"> la plataforma y </w:t>
      </w:r>
      <w:proofErr w:type="spellStart"/>
      <w:r w:rsidRPr="00BC78CF">
        <w:rPr>
          <w:rFonts w:eastAsiaTheme="minorHAnsi" w:cs="Arial"/>
          <w:lang w:eastAsia="en-US"/>
        </w:rPr>
        <w:t>nuevas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actualizaciones</w:t>
      </w:r>
      <w:proofErr w:type="spellEnd"/>
      <w:r w:rsidRPr="00BC78CF">
        <w:rPr>
          <w:rFonts w:eastAsiaTheme="minorHAnsi" w:cs="Arial"/>
          <w:lang w:eastAsia="en-US"/>
        </w:rPr>
        <w:t xml:space="preserve"> de los </w:t>
      </w:r>
      <w:proofErr w:type="spellStart"/>
      <w:r w:rsidRPr="00BC78CF">
        <w:rPr>
          <w:rFonts w:eastAsiaTheme="minorHAnsi" w:cs="Arial"/>
          <w:lang w:eastAsia="en-US"/>
        </w:rPr>
        <w:t>componentes</w:t>
      </w:r>
      <w:proofErr w:type="spellEnd"/>
      <w:r w:rsidRPr="00BC78CF">
        <w:rPr>
          <w:rFonts w:eastAsiaTheme="minorHAnsi" w:cs="Arial"/>
          <w:lang w:eastAsia="en-US"/>
        </w:rPr>
        <w:t xml:space="preserve"> (a partir de </w:t>
      </w:r>
      <w:proofErr w:type="spellStart"/>
      <w:r w:rsidRPr="00BC78CF">
        <w:rPr>
          <w:rFonts w:eastAsiaTheme="minorHAnsi" w:cs="Arial"/>
          <w:lang w:eastAsia="en-US"/>
        </w:rPr>
        <w:t>ahora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experto</w:t>
      </w:r>
      <w:proofErr w:type="spellEnd"/>
      <w:r w:rsidRPr="00BC78CF">
        <w:rPr>
          <w:rFonts w:eastAsiaTheme="minorHAnsi" w:cs="Arial"/>
          <w:lang w:eastAsia="en-US"/>
        </w:rPr>
        <w:t>).</w:t>
      </w:r>
    </w:p>
    <w:p w14:paraId="28FAB913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 funcional para las </w:t>
      </w:r>
      <w:proofErr w:type="spellStart"/>
      <w:r w:rsidRPr="00BC78CF">
        <w:rPr>
          <w:rFonts w:eastAsiaTheme="minorHAnsi" w:cs="Arial"/>
          <w:lang w:eastAsia="en-US"/>
        </w:rPr>
        <w:t>funcionalidades</w:t>
      </w:r>
      <w:proofErr w:type="spellEnd"/>
      <w:r w:rsidRPr="00BC78CF">
        <w:rPr>
          <w:rFonts w:eastAsiaTheme="minorHAnsi" w:cs="Arial"/>
          <w:lang w:eastAsia="en-US"/>
        </w:rPr>
        <w:t xml:space="preserve"> de la plataforma </w:t>
      </w:r>
      <w:proofErr w:type="spellStart"/>
      <w:r w:rsidRPr="00BC78CF">
        <w:rPr>
          <w:rFonts w:eastAsiaTheme="minorHAnsi" w:cs="Arial"/>
          <w:lang w:eastAsia="en-US"/>
        </w:rPr>
        <w:t>VHTeDades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359AE259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11EA3F03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627FFEED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>LOTE 2. PROCESADOR DE NOTAS CLÍNICAS</w:t>
      </w:r>
    </w:p>
    <w:p w14:paraId="6363A3B6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proofErr w:type="spellStart"/>
      <w:r w:rsidRPr="00BC78CF">
        <w:rPr>
          <w:rFonts w:eastAsiaTheme="minorHAnsi" w:cs="Arial"/>
          <w:lang w:eastAsia="en-US"/>
        </w:rPr>
        <w:t>Dado</w:t>
      </w:r>
      <w:proofErr w:type="spellEnd"/>
      <w:r w:rsidRPr="00BC78CF">
        <w:rPr>
          <w:rFonts w:eastAsiaTheme="minorHAnsi" w:cs="Arial"/>
          <w:lang w:eastAsia="en-US"/>
        </w:rPr>
        <w:t xml:space="preserve"> que se </w:t>
      </w:r>
      <w:proofErr w:type="spellStart"/>
      <w:r w:rsidRPr="00BC78CF">
        <w:rPr>
          <w:rFonts w:eastAsiaTheme="minorHAnsi" w:cs="Arial"/>
          <w:lang w:eastAsia="en-US"/>
        </w:rPr>
        <w:t>trata</w:t>
      </w:r>
      <w:proofErr w:type="spellEnd"/>
      <w:r w:rsidRPr="00BC78CF">
        <w:rPr>
          <w:rFonts w:eastAsiaTheme="minorHAnsi" w:cs="Arial"/>
          <w:lang w:eastAsia="en-US"/>
        </w:rPr>
        <w:t xml:space="preserve"> de una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 xml:space="preserve"> que </w:t>
      </w:r>
      <w:proofErr w:type="spellStart"/>
      <w:r w:rsidRPr="00BC78CF">
        <w:rPr>
          <w:rFonts w:eastAsiaTheme="minorHAnsi" w:cs="Arial"/>
          <w:lang w:eastAsia="en-US"/>
        </w:rPr>
        <w:t>debe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permitir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actualizaciones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adaptaciones</w:t>
      </w:r>
      <w:proofErr w:type="spellEnd"/>
      <w:r w:rsidRPr="00BC78CF">
        <w:rPr>
          <w:rFonts w:eastAsiaTheme="minorHAnsi" w:cs="Arial"/>
          <w:lang w:eastAsia="en-US"/>
        </w:rPr>
        <w:t xml:space="preserve"> a los </w:t>
      </w:r>
      <w:proofErr w:type="spellStart"/>
      <w:r w:rsidRPr="00BC78CF">
        <w:rPr>
          <w:rFonts w:eastAsiaTheme="minorHAnsi" w:cs="Arial"/>
          <w:lang w:eastAsia="en-US"/>
        </w:rPr>
        <w:t>conjuntos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datos</w:t>
      </w:r>
      <w:proofErr w:type="spellEnd"/>
      <w:r w:rsidRPr="00BC78CF">
        <w:rPr>
          <w:rFonts w:eastAsiaTheme="minorHAnsi" w:cs="Arial"/>
          <w:lang w:eastAsia="en-US"/>
        </w:rPr>
        <w:t xml:space="preserve"> del hospital en un </w:t>
      </w:r>
      <w:proofErr w:type="spellStart"/>
      <w:r w:rsidRPr="00BC78CF">
        <w:rPr>
          <w:rFonts w:eastAsiaTheme="minorHAnsi" w:cs="Arial"/>
          <w:lang w:eastAsia="en-US"/>
        </w:rPr>
        <w:t>futuro</w:t>
      </w:r>
      <w:proofErr w:type="spellEnd"/>
      <w:r w:rsidRPr="00BC78CF">
        <w:rPr>
          <w:rFonts w:eastAsiaTheme="minorHAnsi" w:cs="Arial"/>
          <w:lang w:eastAsia="en-US"/>
        </w:rPr>
        <w:t xml:space="preserve"> y no se </w:t>
      </w:r>
      <w:proofErr w:type="spellStart"/>
      <w:r w:rsidRPr="00BC78CF">
        <w:rPr>
          <w:rFonts w:eastAsiaTheme="minorHAnsi" w:cs="Arial"/>
          <w:lang w:eastAsia="en-US"/>
        </w:rPr>
        <w:t>trata</w:t>
      </w:r>
      <w:proofErr w:type="spellEnd"/>
      <w:r w:rsidRPr="00BC78CF">
        <w:rPr>
          <w:rFonts w:eastAsiaTheme="minorHAnsi" w:cs="Arial"/>
          <w:lang w:eastAsia="en-US"/>
        </w:rPr>
        <w:t xml:space="preserve"> de un sistema </w:t>
      </w:r>
      <w:proofErr w:type="spellStart"/>
      <w:r w:rsidRPr="00BC78CF">
        <w:rPr>
          <w:rFonts w:eastAsiaTheme="minorHAnsi" w:cs="Arial"/>
          <w:lang w:eastAsia="en-US"/>
        </w:rPr>
        <w:t>basado</w:t>
      </w:r>
      <w:proofErr w:type="spellEnd"/>
      <w:r w:rsidRPr="00BC78CF">
        <w:rPr>
          <w:rFonts w:eastAsiaTheme="minorHAnsi" w:cs="Arial"/>
          <w:lang w:eastAsia="en-US"/>
        </w:rPr>
        <w:t xml:space="preserve"> en el uso por </w:t>
      </w:r>
      <w:proofErr w:type="spellStart"/>
      <w:r w:rsidRPr="00BC78CF">
        <w:rPr>
          <w:rFonts w:eastAsiaTheme="minorHAnsi" w:cs="Arial"/>
          <w:lang w:eastAsia="en-US"/>
        </w:rPr>
        <w:t>licencias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debe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incluir</w:t>
      </w:r>
      <w:proofErr w:type="spellEnd"/>
      <w:r w:rsidRPr="00BC78CF">
        <w:rPr>
          <w:rFonts w:eastAsiaTheme="minorHAnsi" w:cs="Arial"/>
          <w:lang w:eastAsia="en-US"/>
        </w:rPr>
        <w:t>:</w:t>
      </w:r>
    </w:p>
    <w:p w14:paraId="008C6040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Derecho</w:t>
      </w:r>
      <w:proofErr w:type="spellEnd"/>
      <w:r w:rsidRPr="00BC78CF">
        <w:rPr>
          <w:rFonts w:eastAsiaTheme="minorHAnsi" w:cs="Arial"/>
          <w:lang w:eastAsia="en-US"/>
        </w:rPr>
        <w:t xml:space="preserve"> de uso por el Instituto </w:t>
      </w:r>
      <w:proofErr w:type="spellStart"/>
      <w:r w:rsidRPr="00BC78CF">
        <w:rPr>
          <w:rFonts w:eastAsiaTheme="minorHAnsi" w:cs="Arial"/>
          <w:lang w:eastAsia="en-US"/>
        </w:rPr>
        <w:t>Catalán</w:t>
      </w:r>
      <w:proofErr w:type="spellEnd"/>
      <w:r w:rsidRPr="00BC78CF">
        <w:rPr>
          <w:rFonts w:eastAsiaTheme="minorHAnsi" w:cs="Arial"/>
          <w:lang w:eastAsia="en-US"/>
        </w:rPr>
        <w:t xml:space="preserve"> de la Salud.</w:t>
      </w:r>
    </w:p>
    <w:p w14:paraId="245536A4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Despliegue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configuración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puesta</w:t>
      </w:r>
      <w:proofErr w:type="spellEnd"/>
      <w:r w:rsidRPr="00BC78CF">
        <w:rPr>
          <w:rFonts w:eastAsiaTheme="minorHAnsi" w:cs="Arial"/>
          <w:lang w:eastAsia="en-US"/>
        </w:rPr>
        <w:t xml:space="preserve"> en </w:t>
      </w:r>
      <w:proofErr w:type="spellStart"/>
      <w:r w:rsidRPr="00BC78CF">
        <w:rPr>
          <w:rFonts w:eastAsiaTheme="minorHAnsi" w:cs="Arial"/>
          <w:lang w:eastAsia="en-US"/>
        </w:rPr>
        <w:t>marcha</w:t>
      </w:r>
      <w:proofErr w:type="spellEnd"/>
      <w:r w:rsidRPr="00BC78CF">
        <w:rPr>
          <w:rFonts w:eastAsiaTheme="minorHAnsi" w:cs="Arial"/>
          <w:lang w:eastAsia="en-US"/>
        </w:rPr>
        <w:t xml:space="preserve"> de la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 xml:space="preserve"> por </w:t>
      </w:r>
      <w:proofErr w:type="spellStart"/>
      <w:r w:rsidRPr="00BC78CF">
        <w:rPr>
          <w:rFonts w:eastAsiaTheme="minorHAnsi" w:cs="Arial"/>
          <w:lang w:eastAsia="en-US"/>
        </w:rPr>
        <w:t>parte</w:t>
      </w:r>
      <w:proofErr w:type="spellEnd"/>
      <w:r w:rsidRPr="00BC78CF">
        <w:rPr>
          <w:rFonts w:eastAsiaTheme="minorHAnsi" w:cs="Arial"/>
          <w:lang w:eastAsia="en-US"/>
        </w:rPr>
        <w:t xml:space="preserve"> del </w:t>
      </w:r>
      <w:proofErr w:type="spellStart"/>
      <w:r w:rsidRPr="00BC78CF">
        <w:rPr>
          <w:rFonts w:eastAsiaTheme="minorHAnsi" w:cs="Arial"/>
          <w:lang w:eastAsia="en-US"/>
        </w:rPr>
        <w:t>contratista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741DFEAD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Apoyo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experto</w:t>
      </w:r>
      <w:proofErr w:type="spellEnd"/>
      <w:r w:rsidRPr="00BC78CF">
        <w:rPr>
          <w:rFonts w:eastAsiaTheme="minorHAnsi" w:cs="Arial"/>
          <w:lang w:eastAsia="en-US"/>
        </w:rPr>
        <w:t xml:space="preserve"> de la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3DC03B08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 funcional.</w:t>
      </w:r>
    </w:p>
    <w:p w14:paraId="12A56DA9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6F6CB85F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</w:p>
    <w:p w14:paraId="38E9F565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LOTE 3: REPOSITORIO </w:t>
      </w:r>
      <w:proofErr w:type="spellStart"/>
      <w:r w:rsidRPr="00BC78CF">
        <w:rPr>
          <w:rFonts w:eastAsiaTheme="minorHAnsi" w:cs="Arial"/>
          <w:lang w:eastAsia="en-US"/>
        </w:rPr>
        <w:t>OpenEHR</w:t>
      </w:r>
      <w:proofErr w:type="spellEnd"/>
    </w:p>
    <w:p w14:paraId="0277F84A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proofErr w:type="spellStart"/>
      <w:r w:rsidRPr="00BC78CF">
        <w:rPr>
          <w:rFonts w:eastAsiaTheme="minorHAnsi" w:cs="Arial"/>
          <w:lang w:eastAsia="en-US"/>
        </w:rPr>
        <w:t>Dado</w:t>
      </w:r>
      <w:proofErr w:type="spellEnd"/>
      <w:r w:rsidRPr="00BC78CF">
        <w:rPr>
          <w:rFonts w:eastAsiaTheme="minorHAnsi" w:cs="Arial"/>
          <w:lang w:eastAsia="en-US"/>
        </w:rPr>
        <w:t xml:space="preserve"> que se </w:t>
      </w:r>
      <w:proofErr w:type="spellStart"/>
      <w:r w:rsidRPr="00BC78CF">
        <w:rPr>
          <w:rFonts w:eastAsiaTheme="minorHAnsi" w:cs="Arial"/>
          <w:lang w:eastAsia="en-US"/>
        </w:rPr>
        <w:t>trata</w:t>
      </w:r>
      <w:proofErr w:type="spellEnd"/>
      <w:r w:rsidRPr="00BC78CF">
        <w:rPr>
          <w:rFonts w:eastAsiaTheme="minorHAnsi" w:cs="Arial"/>
          <w:lang w:eastAsia="en-US"/>
        </w:rPr>
        <w:t xml:space="preserve"> de un sistema </w:t>
      </w:r>
      <w:proofErr w:type="spellStart"/>
      <w:r w:rsidRPr="00BC78CF">
        <w:rPr>
          <w:rFonts w:eastAsiaTheme="minorHAnsi" w:cs="Arial"/>
          <w:lang w:eastAsia="en-US"/>
        </w:rPr>
        <w:t>basado</w:t>
      </w:r>
      <w:proofErr w:type="spellEnd"/>
      <w:r w:rsidRPr="00BC78CF">
        <w:rPr>
          <w:rFonts w:eastAsiaTheme="minorHAnsi" w:cs="Arial"/>
          <w:lang w:eastAsia="en-US"/>
        </w:rPr>
        <w:t xml:space="preserve"> en el uso por </w:t>
      </w:r>
      <w:proofErr w:type="spellStart"/>
      <w:r w:rsidRPr="00BC78CF">
        <w:rPr>
          <w:rFonts w:eastAsiaTheme="minorHAnsi" w:cs="Arial"/>
          <w:lang w:eastAsia="en-US"/>
        </w:rPr>
        <w:t>licencias</w:t>
      </w:r>
      <w:proofErr w:type="spellEnd"/>
      <w:r w:rsidRPr="00BC78CF">
        <w:rPr>
          <w:rFonts w:eastAsiaTheme="minorHAnsi" w:cs="Arial"/>
          <w:lang w:eastAsia="en-US"/>
        </w:rPr>
        <w:t xml:space="preserve">, y para </w:t>
      </w:r>
      <w:proofErr w:type="spellStart"/>
      <w:r w:rsidRPr="00BC78CF">
        <w:rPr>
          <w:rFonts w:eastAsiaTheme="minorHAnsi" w:cs="Arial"/>
          <w:lang w:eastAsia="en-US"/>
        </w:rPr>
        <w:t>garantizar</w:t>
      </w:r>
      <w:proofErr w:type="spellEnd"/>
      <w:r w:rsidRPr="00BC78CF">
        <w:rPr>
          <w:rFonts w:eastAsiaTheme="minorHAnsi" w:cs="Arial"/>
          <w:lang w:eastAsia="en-US"/>
        </w:rPr>
        <w:t xml:space="preserve"> el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, la </w:t>
      </w:r>
      <w:proofErr w:type="spellStart"/>
      <w:r w:rsidRPr="00BC78CF">
        <w:rPr>
          <w:rFonts w:eastAsiaTheme="minorHAnsi" w:cs="Arial"/>
          <w:lang w:eastAsia="en-US"/>
        </w:rPr>
        <w:t>continuidad</w:t>
      </w:r>
      <w:proofErr w:type="spellEnd"/>
      <w:r w:rsidRPr="00BC78CF">
        <w:rPr>
          <w:rFonts w:eastAsiaTheme="minorHAnsi" w:cs="Arial"/>
          <w:lang w:eastAsia="en-US"/>
        </w:rPr>
        <w:t xml:space="preserve"> y la </w:t>
      </w:r>
      <w:proofErr w:type="spellStart"/>
      <w:r w:rsidRPr="00BC78CF">
        <w:rPr>
          <w:rFonts w:eastAsiaTheme="minorHAnsi" w:cs="Arial"/>
          <w:lang w:eastAsia="en-US"/>
        </w:rPr>
        <w:t>evolución</w:t>
      </w:r>
      <w:proofErr w:type="spellEnd"/>
      <w:r w:rsidRPr="00BC78CF">
        <w:rPr>
          <w:rFonts w:eastAsiaTheme="minorHAnsi" w:cs="Arial"/>
          <w:lang w:eastAsia="en-US"/>
        </w:rPr>
        <w:t xml:space="preserve"> de la plataforma se </w:t>
      </w:r>
      <w:proofErr w:type="spellStart"/>
      <w:r w:rsidRPr="00BC78CF">
        <w:rPr>
          <w:rFonts w:eastAsiaTheme="minorHAnsi" w:cs="Arial"/>
          <w:lang w:eastAsia="en-US"/>
        </w:rPr>
        <w:t>pide</w:t>
      </w:r>
      <w:proofErr w:type="spellEnd"/>
      <w:r w:rsidRPr="00BC78CF">
        <w:rPr>
          <w:rFonts w:eastAsiaTheme="minorHAnsi" w:cs="Arial"/>
          <w:lang w:eastAsia="en-US"/>
        </w:rPr>
        <w:t xml:space="preserve"> que se </w:t>
      </w:r>
      <w:proofErr w:type="spellStart"/>
      <w:r w:rsidRPr="00BC78CF">
        <w:rPr>
          <w:rFonts w:eastAsiaTheme="minorHAnsi" w:cs="Arial"/>
          <w:lang w:eastAsia="en-US"/>
        </w:rPr>
        <w:t>incluya</w:t>
      </w:r>
      <w:proofErr w:type="spellEnd"/>
      <w:r w:rsidRPr="00BC78CF">
        <w:rPr>
          <w:rFonts w:eastAsiaTheme="minorHAnsi" w:cs="Arial"/>
          <w:lang w:eastAsia="en-US"/>
        </w:rPr>
        <w:t>:</w:t>
      </w:r>
    </w:p>
    <w:p w14:paraId="4F7CE521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Licencias</w:t>
      </w:r>
      <w:proofErr w:type="spellEnd"/>
      <w:r w:rsidRPr="00BC78CF">
        <w:rPr>
          <w:rFonts w:eastAsiaTheme="minorHAnsi" w:cs="Arial"/>
          <w:lang w:eastAsia="en-US"/>
        </w:rPr>
        <w:t xml:space="preserve"> de la plataforma de </w:t>
      </w:r>
      <w:proofErr w:type="spellStart"/>
      <w:r w:rsidRPr="00BC78CF">
        <w:rPr>
          <w:rFonts w:eastAsiaTheme="minorHAnsi" w:cs="Arial"/>
          <w:lang w:eastAsia="en-US"/>
        </w:rPr>
        <w:t>modelado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persistencia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gestión</w:t>
      </w:r>
      <w:proofErr w:type="spellEnd"/>
      <w:r w:rsidRPr="00BC78CF">
        <w:rPr>
          <w:rFonts w:eastAsiaTheme="minorHAnsi" w:cs="Arial"/>
          <w:lang w:eastAsia="en-US"/>
        </w:rPr>
        <w:t xml:space="preserve"> de los </w:t>
      </w:r>
      <w:proofErr w:type="spellStart"/>
      <w:r w:rsidRPr="00BC78CF">
        <w:rPr>
          <w:rFonts w:eastAsiaTheme="minorHAnsi" w:cs="Arial"/>
          <w:lang w:eastAsia="en-US"/>
        </w:rPr>
        <w:t>datos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OpenEHR</w:t>
      </w:r>
      <w:proofErr w:type="spellEnd"/>
    </w:p>
    <w:p w14:paraId="056F1051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por 3 </w:t>
      </w:r>
      <w:proofErr w:type="spellStart"/>
      <w:r w:rsidRPr="00BC78CF">
        <w:rPr>
          <w:rFonts w:eastAsiaTheme="minorHAnsi" w:cs="Arial"/>
          <w:lang w:eastAsia="en-US"/>
        </w:rPr>
        <w:t>años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10D19812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Despliegue</w:t>
      </w:r>
      <w:proofErr w:type="spellEnd"/>
      <w:r w:rsidRPr="00BC78CF">
        <w:rPr>
          <w:rFonts w:eastAsiaTheme="minorHAnsi" w:cs="Arial"/>
          <w:lang w:eastAsia="en-US"/>
        </w:rPr>
        <w:t xml:space="preserve">, </w:t>
      </w:r>
      <w:proofErr w:type="spellStart"/>
      <w:r w:rsidRPr="00BC78CF">
        <w:rPr>
          <w:rFonts w:eastAsiaTheme="minorHAnsi" w:cs="Arial"/>
          <w:lang w:eastAsia="en-US"/>
        </w:rPr>
        <w:t>configuración</w:t>
      </w:r>
      <w:proofErr w:type="spellEnd"/>
      <w:r w:rsidRPr="00BC78CF">
        <w:rPr>
          <w:rFonts w:eastAsiaTheme="minorHAnsi" w:cs="Arial"/>
          <w:lang w:eastAsia="en-US"/>
        </w:rPr>
        <w:t xml:space="preserve"> y </w:t>
      </w:r>
      <w:proofErr w:type="spellStart"/>
      <w:r w:rsidRPr="00BC78CF">
        <w:rPr>
          <w:rFonts w:eastAsiaTheme="minorHAnsi" w:cs="Arial"/>
          <w:lang w:eastAsia="en-US"/>
        </w:rPr>
        <w:t>puesta</w:t>
      </w:r>
      <w:proofErr w:type="spellEnd"/>
      <w:r w:rsidRPr="00BC78CF">
        <w:rPr>
          <w:rFonts w:eastAsiaTheme="minorHAnsi" w:cs="Arial"/>
          <w:lang w:eastAsia="en-US"/>
        </w:rPr>
        <w:t xml:space="preserve"> en </w:t>
      </w:r>
      <w:proofErr w:type="spellStart"/>
      <w:r w:rsidRPr="00BC78CF">
        <w:rPr>
          <w:rFonts w:eastAsiaTheme="minorHAnsi" w:cs="Arial"/>
          <w:lang w:eastAsia="en-US"/>
        </w:rPr>
        <w:t>marcha</w:t>
      </w:r>
      <w:proofErr w:type="spellEnd"/>
      <w:r w:rsidRPr="00BC78CF">
        <w:rPr>
          <w:rFonts w:eastAsiaTheme="minorHAnsi" w:cs="Arial"/>
          <w:lang w:eastAsia="en-US"/>
        </w:rPr>
        <w:t xml:space="preserve"> de la </w:t>
      </w:r>
      <w:proofErr w:type="spellStart"/>
      <w:r w:rsidRPr="00BC78CF">
        <w:rPr>
          <w:rFonts w:eastAsiaTheme="minorHAnsi" w:cs="Arial"/>
          <w:lang w:eastAsia="en-US"/>
        </w:rPr>
        <w:t>solución</w:t>
      </w:r>
      <w:proofErr w:type="spellEnd"/>
      <w:r w:rsidRPr="00BC78CF">
        <w:rPr>
          <w:rFonts w:eastAsiaTheme="minorHAnsi" w:cs="Arial"/>
          <w:lang w:eastAsia="en-US"/>
        </w:rPr>
        <w:t xml:space="preserve"> por </w:t>
      </w:r>
      <w:proofErr w:type="spellStart"/>
      <w:r w:rsidRPr="00BC78CF">
        <w:rPr>
          <w:rFonts w:eastAsiaTheme="minorHAnsi" w:cs="Arial"/>
          <w:lang w:eastAsia="en-US"/>
        </w:rPr>
        <w:t>parte</w:t>
      </w:r>
      <w:proofErr w:type="spellEnd"/>
      <w:r w:rsidRPr="00BC78CF">
        <w:rPr>
          <w:rFonts w:eastAsiaTheme="minorHAnsi" w:cs="Arial"/>
          <w:lang w:eastAsia="en-US"/>
        </w:rPr>
        <w:t xml:space="preserve"> del </w:t>
      </w:r>
      <w:proofErr w:type="spellStart"/>
      <w:r w:rsidRPr="00BC78CF">
        <w:rPr>
          <w:rFonts w:eastAsiaTheme="minorHAnsi" w:cs="Arial"/>
          <w:lang w:eastAsia="en-US"/>
        </w:rPr>
        <w:t>contratista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53C39732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lastRenderedPageBreak/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Suministro</w:t>
      </w:r>
      <w:proofErr w:type="spellEnd"/>
      <w:r w:rsidRPr="00BC78CF">
        <w:rPr>
          <w:rFonts w:eastAsiaTheme="minorHAnsi" w:cs="Arial"/>
          <w:lang w:eastAsia="en-US"/>
        </w:rPr>
        <w:t xml:space="preserve"> de </w:t>
      </w:r>
      <w:proofErr w:type="spellStart"/>
      <w:r w:rsidRPr="00BC78CF">
        <w:rPr>
          <w:rFonts w:eastAsiaTheme="minorHAnsi" w:cs="Arial"/>
          <w:lang w:eastAsia="en-US"/>
        </w:rPr>
        <w:t>nuevas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versiones</w:t>
      </w:r>
      <w:proofErr w:type="spellEnd"/>
      <w:r w:rsidRPr="00BC78CF">
        <w:rPr>
          <w:rFonts w:eastAsiaTheme="minorHAnsi" w:cs="Arial"/>
          <w:lang w:eastAsia="en-US"/>
        </w:rPr>
        <w:t xml:space="preserve"> que </w:t>
      </w:r>
      <w:proofErr w:type="spellStart"/>
      <w:r w:rsidRPr="00BC78CF">
        <w:rPr>
          <w:rFonts w:eastAsiaTheme="minorHAnsi" w:cs="Arial"/>
          <w:lang w:eastAsia="en-US"/>
        </w:rPr>
        <w:t>incluya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mejoras</w:t>
      </w:r>
      <w:proofErr w:type="spellEnd"/>
      <w:r w:rsidRPr="00BC78CF">
        <w:rPr>
          <w:rFonts w:eastAsiaTheme="minorHAnsi" w:cs="Arial"/>
          <w:lang w:eastAsia="en-US"/>
        </w:rPr>
        <w:t xml:space="preserve"> de la plataforma</w:t>
      </w:r>
    </w:p>
    <w:p w14:paraId="118C3CE6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de </w:t>
      </w:r>
      <w:proofErr w:type="spellStart"/>
      <w:r w:rsidRPr="00BC78CF">
        <w:rPr>
          <w:rFonts w:eastAsiaTheme="minorHAnsi" w:cs="Arial"/>
          <w:lang w:eastAsia="en-US"/>
        </w:rPr>
        <w:t>OpenEHR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4C08EDF7" w14:textId="77777777" w:rsidR="00BC78CF" w:rsidRPr="00BC78C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Apoyo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experto</w:t>
      </w:r>
      <w:proofErr w:type="spellEnd"/>
      <w:r w:rsidRPr="00BC78CF">
        <w:rPr>
          <w:rFonts w:eastAsiaTheme="minorHAnsi" w:cs="Arial"/>
          <w:lang w:eastAsia="en-US"/>
        </w:rPr>
        <w:t xml:space="preserve"> de la plataforma (a partir de </w:t>
      </w:r>
      <w:proofErr w:type="spellStart"/>
      <w:r w:rsidRPr="00BC78CF">
        <w:rPr>
          <w:rFonts w:eastAsiaTheme="minorHAnsi" w:cs="Arial"/>
          <w:lang w:eastAsia="en-US"/>
        </w:rPr>
        <w:t>ahora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experto</w:t>
      </w:r>
      <w:proofErr w:type="spellEnd"/>
      <w:r w:rsidRPr="00BC78CF">
        <w:rPr>
          <w:rFonts w:eastAsiaTheme="minorHAnsi" w:cs="Arial"/>
          <w:lang w:eastAsia="en-US"/>
        </w:rPr>
        <w:t>).</w:t>
      </w:r>
    </w:p>
    <w:p w14:paraId="089AE3B9" w14:textId="0D9DEF3B" w:rsidR="00B6423F" w:rsidRDefault="00BC78CF" w:rsidP="00BC78CF">
      <w:pPr>
        <w:autoSpaceDE w:val="0"/>
        <w:autoSpaceDN w:val="0"/>
        <w:adjustRightInd w:val="0"/>
        <w:spacing w:after="0" w:line="240" w:lineRule="auto"/>
        <w:jc w:val="both"/>
        <w:rPr>
          <w:rFonts w:ascii="CIDFont+F7" w:eastAsiaTheme="minorHAnsi" w:hAnsi="CIDFont+F7" w:cs="CIDFont+F7"/>
          <w:lang w:eastAsia="en-US"/>
        </w:rPr>
      </w:pPr>
      <w:r w:rsidRPr="00BC78CF">
        <w:rPr>
          <w:rFonts w:eastAsiaTheme="minorHAnsi" w:cs="Arial"/>
          <w:lang w:eastAsia="en-US"/>
        </w:rPr>
        <w:t xml:space="preserve">- </w:t>
      </w:r>
      <w:proofErr w:type="spellStart"/>
      <w:r w:rsidRPr="00BC78CF">
        <w:rPr>
          <w:rFonts w:eastAsiaTheme="minorHAnsi" w:cs="Arial"/>
          <w:lang w:eastAsia="en-US"/>
        </w:rPr>
        <w:t>Soporte</w:t>
      </w:r>
      <w:proofErr w:type="spellEnd"/>
      <w:r w:rsidRPr="00BC78CF">
        <w:rPr>
          <w:rFonts w:eastAsiaTheme="minorHAnsi" w:cs="Arial"/>
          <w:lang w:eastAsia="en-US"/>
        </w:rPr>
        <w:t xml:space="preserve"> funcional para dar </w:t>
      </w:r>
      <w:proofErr w:type="spellStart"/>
      <w:r w:rsidRPr="00BC78CF">
        <w:rPr>
          <w:rFonts w:eastAsiaTheme="minorHAnsi" w:cs="Arial"/>
          <w:lang w:eastAsia="en-US"/>
        </w:rPr>
        <w:t>respuesta</w:t>
      </w:r>
      <w:proofErr w:type="spellEnd"/>
      <w:r w:rsidRPr="00BC78CF">
        <w:rPr>
          <w:rFonts w:eastAsiaTheme="minorHAnsi" w:cs="Arial"/>
          <w:lang w:eastAsia="en-US"/>
        </w:rPr>
        <w:t xml:space="preserve"> a los casos de uso del </w:t>
      </w:r>
      <w:proofErr w:type="spellStart"/>
      <w:r w:rsidRPr="00BC78CF">
        <w:rPr>
          <w:rFonts w:eastAsiaTheme="minorHAnsi" w:cs="Arial"/>
          <w:lang w:eastAsia="en-US"/>
        </w:rPr>
        <w:t>proyecto</w:t>
      </w:r>
      <w:proofErr w:type="spellEnd"/>
      <w:r w:rsidRPr="00BC78CF">
        <w:rPr>
          <w:rFonts w:eastAsiaTheme="minorHAnsi" w:cs="Arial"/>
          <w:lang w:eastAsia="en-US"/>
        </w:rPr>
        <w:t xml:space="preserve"> </w:t>
      </w:r>
      <w:proofErr w:type="spellStart"/>
      <w:r w:rsidRPr="00BC78CF">
        <w:rPr>
          <w:rFonts w:eastAsiaTheme="minorHAnsi" w:cs="Arial"/>
          <w:lang w:eastAsia="en-US"/>
        </w:rPr>
        <w:t>VHTeDades</w:t>
      </w:r>
      <w:proofErr w:type="spellEnd"/>
      <w:r w:rsidRPr="00BC78CF">
        <w:rPr>
          <w:rFonts w:eastAsiaTheme="minorHAnsi" w:cs="Arial"/>
          <w:lang w:eastAsia="en-US"/>
        </w:rPr>
        <w:t>.</w:t>
      </w:r>
    </w:p>
    <w:p w14:paraId="74BE137D" w14:textId="3AFE85FE" w:rsidR="00B6423F" w:rsidRDefault="00B6423F" w:rsidP="002246E6">
      <w:pPr>
        <w:autoSpaceDE w:val="0"/>
        <w:autoSpaceDN w:val="0"/>
        <w:adjustRightInd w:val="0"/>
        <w:spacing w:after="0" w:line="240" w:lineRule="auto"/>
        <w:jc w:val="both"/>
        <w:rPr>
          <w:rFonts w:ascii="CIDFont+F7" w:eastAsiaTheme="minorHAnsi" w:hAnsi="CIDFont+F7" w:cs="CIDFont+F7"/>
          <w:lang w:eastAsia="en-US"/>
        </w:rPr>
      </w:pPr>
    </w:p>
    <w:p w14:paraId="5167242F" w14:textId="2BF8C084" w:rsidR="00B6423F" w:rsidRPr="00CB5187" w:rsidRDefault="00B6423F" w:rsidP="002246E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drawing>
          <wp:inline distT="0" distB="0" distL="0" distR="0" wp14:anchorId="00FE59DB" wp14:editId="33597187">
            <wp:extent cx="5400040" cy="2755900"/>
            <wp:effectExtent l="0" t="0" r="0" b="635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23F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654F1830" w:rsidR="00900292" w:rsidRDefault="002246E6">
    <w:pPr>
      <w:pStyle w:val="Peu"/>
    </w:pPr>
    <w:r>
      <w:rPr>
        <w:noProof/>
      </w:rPr>
      <w:drawing>
        <wp:inline distT="0" distB="0" distL="0" distR="0" wp14:anchorId="265FE11A" wp14:editId="7E83218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39DAF0AB" w:rsidR="00F454D8" w:rsidRDefault="002246E6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7497B66" wp14:editId="217348A7">
          <wp:simplePos x="0" y="0"/>
          <wp:positionH relativeFrom="margin">
            <wp:posOffset>-203835</wp:posOffset>
          </wp:positionH>
          <wp:positionV relativeFrom="paragraph">
            <wp:posOffset>6985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1" locked="0" layoutInCell="1" allowOverlap="1" wp14:anchorId="58478619" wp14:editId="56FE1979">
          <wp:simplePos x="0" y="0"/>
          <wp:positionH relativeFrom="column">
            <wp:posOffset>3118485</wp:posOffset>
          </wp:positionH>
          <wp:positionV relativeFrom="paragraph">
            <wp:posOffset>6985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60E7DB75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46E6"/>
    <w:rsid w:val="002258BD"/>
    <w:rsid w:val="00227795"/>
    <w:rsid w:val="00233B64"/>
    <w:rsid w:val="00241350"/>
    <w:rsid w:val="00247B10"/>
    <w:rsid w:val="002A1ACB"/>
    <w:rsid w:val="002B7DDB"/>
    <w:rsid w:val="002C33FB"/>
    <w:rsid w:val="00312C38"/>
    <w:rsid w:val="003248CF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6423F"/>
    <w:rsid w:val="00BC78CF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2A2C518"/>
    <w:rsid w:val="6CD6C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1B9F4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F72928-A324-4014-817B-4A916AA3F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5275BF-7835-4553-93F5-DC4D9F2CF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C53D4F-4CF7-4FC0-8520-9F6924EF46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2007</Characters>
  <Application>Microsoft Office Word</Application>
  <DocSecurity>0</DocSecurity>
  <Lines>16</Lines>
  <Paragraphs>4</Paragraphs>
  <ScaleCrop>false</ScaleCrop>
  <Company>CTTI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10</cp:revision>
  <cp:lastPrinted>2018-12-18T08:58:00Z</cp:lastPrinted>
  <dcterms:created xsi:type="dcterms:W3CDTF">2023-03-10T13:21:00Z</dcterms:created>
  <dcterms:modified xsi:type="dcterms:W3CDTF">2025-11-05T16:15:00Z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